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595959"/>
          <w:sz w:val="32"/>
          <w:szCs w:val="32"/>
        </w:rPr>
      </w:pPr>
      <w:r w:rsidDel="00000000" w:rsidR="00000000" w:rsidRPr="00000000">
        <w:rPr>
          <w:rtl w:val="0"/>
        </w:rPr>
      </w:r>
    </w:p>
    <w:p w:rsidR="00000000" w:rsidDel="00000000" w:rsidP="00000000" w:rsidRDefault="00000000" w:rsidRPr="00000000" w14:paraId="00000002">
      <w:pPr>
        <w:shd w:fill="ffffff" w:val="clear"/>
        <w:spacing w:after="280" w:line="240" w:lineRule="auto"/>
        <w:jc w:val="center"/>
        <w:rPr>
          <w:rFonts w:ascii="Arial Narrow" w:cs="Arial Narrow" w:eastAsia="Arial Narrow" w:hAnsi="Arial Narrow"/>
          <w:b w:val="1"/>
          <w:color w:val="595959"/>
          <w:sz w:val="32"/>
          <w:szCs w:val="32"/>
        </w:rPr>
      </w:pPr>
      <w:bookmarkStart w:colFirst="0" w:colLast="0" w:name="_heading=h.gjdgxs" w:id="0"/>
      <w:bookmarkEnd w:id="0"/>
      <w:r w:rsidDel="00000000" w:rsidR="00000000" w:rsidRPr="00000000">
        <w:rPr>
          <w:rFonts w:ascii="Arial Narrow" w:cs="Arial Narrow" w:eastAsia="Arial Narrow" w:hAnsi="Arial Narrow"/>
          <w:b w:val="1"/>
          <w:color w:val="595959"/>
          <w:sz w:val="32"/>
          <w:szCs w:val="32"/>
          <w:rtl w:val="0"/>
        </w:rPr>
        <w:t xml:space="preserve">CAF coloca USD 1.000 millones en bonos para impulsar la reactivación social y económica de América Latina</w:t>
      </w:r>
    </w:p>
    <w:p w:rsidR="00000000" w:rsidDel="00000000" w:rsidP="00000000" w:rsidRDefault="00000000" w:rsidRPr="00000000" w14:paraId="00000003">
      <w:pPr>
        <w:jc w:val="center"/>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Pr>
        <w:drawing>
          <wp:inline distB="114300" distT="114300" distL="114300" distR="114300">
            <wp:extent cx="3523734" cy="2488883"/>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23734" cy="248888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line="225.4909090909091" w:lineRule="auto"/>
        <w:jc w:val="both"/>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La confianza de los inversionistas en la solidez financiera de CAF así como en su eficiencia en la movilización de recursos y fomento de iniciativas que mejorarán la calidad de vida de la población y promoverán la competitividad de América Latina y el Caribe, se vio reflejada en una demanda que duplicó el monto emitido en el mercado estadounidense. En el 2021, CAF ha emitido cerca de USD 4.500 millones.</w:t>
      </w:r>
    </w:p>
    <w:p w:rsidR="00000000" w:rsidDel="00000000" w:rsidP="00000000" w:rsidRDefault="00000000" w:rsidRPr="00000000" w14:paraId="00000005">
      <w:pPr>
        <w:shd w:fill="ffffff" w:val="clear"/>
        <w:spacing w:after="0" w:lineRule="auto"/>
        <w:jc w:val="both"/>
        <w:rPr>
          <w:rFonts w:ascii="Arial" w:cs="Arial" w:eastAsia="Arial" w:hAnsi="Arial"/>
          <w:color w:val="242424"/>
          <w:sz w:val="24"/>
          <w:szCs w:val="24"/>
          <w:shd w:fill="fafafa" w:val="clear"/>
        </w:rPr>
      </w:pPr>
      <w:r w:rsidDel="00000000" w:rsidR="00000000" w:rsidRPr="00000000">
        <w:rPr>
          <w:rFonts w:ascii="Arial Narrow" w:cs="Arial Narrow" w:eastAsia="Arial Narrow" w:hAnsi="Arial Narrow"/>
          <w:i w:val="1"/>
          <w:color w:val="7f7f7f"/>
          <w:sz w:val="24"/>
          <w:szCs w:val="24"/>
          <w:rtl w:val="0"/>
        </w:rPr>
        <w:t xml:space="preserve">(Caracas, 20 de octubre de 2021).</w:t>
      </w:r>
      <w:r w:rsidDel="00000000" w:rsidR="00000000" w:rsidRPr="00000000">
        <w:rPr>
          <w:rFonts w:ascii="Arial Narrow" w:cs="Arial Narrow" w:eastAsia="Arial Narrow" w:hAnsi="Arial Narrow"/>
          <w:color w:val="222222"/>
          <w:sz w:val="24"/>
          <w:szCs w:val="24"/>
          <w:rtl w:val="0"/>
        </w:rPr>
        <w:t xml:space="preserve"> CAF –banco de desarrollo de América Latina- continúa canalizando recursos para acompañar los planes de reactivación económica y social de sus 19 países miembros con una nueva colocación de bonos por USD 1.000 millones. Esta emisión tiene un vencimiento de 3 años y un cupón de 1.25%. La demanda de los inversionistas alcanzó los USD 2.000 millones, siendo la más grande de CAF en los últimos cinco años. </w:t>
      </w:r>
      <w:r w:rsidDel="00000000" w:rsidR="00000000" w:rsidRPr="00000000">
        <w:rPr>
          <w:rFonts w:ascii="Arial" w:cs="Arial" w:eastAsia="Arial" w:hAnsi="Arial"/>
          <w:color w:val="242424"/>
          <w:sz w:val="24"/>
          <w:szCs w:val="24"/>
          <w:shd w:fill="fafafa" w:val="clear"/>
          <w:rtl w:val="0"/>
        </w:rPr>
        <w:t xml:space="preserve"> </w:t>
      </w:r>
    </w:p>
    <w:p w:rsidR="00000000" w:rsidDel="00000000" w:rsidP="00000000" w:rsidRDefault="00000000" w:rsidRPr="00000000" w14:paraId="00000006">
      <w:pPr>
        <w:shd w:fill="ffffff" w:val="clear"/>
        <w:spacing w:after="0" w:lineRule="auto"/>
        <w:jc w:val="both"/>
        <w:rPr>
          <w:rFonts w:ascii="Arial" w:cs="Arial" w:eastAsia="Arial" w:hAnsi="Arial"/>
          <w:color w:val="242424"/>
          <w:sz w:val="24"/>
          <w:szCs w:val="24"/>
          <w:shd w:fill="fafafa" w:val="clear"/>
        </w:rPr>
      </w:pPr>
      <w:r w:rsidDel="00000000" w:rsidR="00000000" w:rsidRPr="00000000">
        <w:rPr>
          <w:rFonts w:ascii="Arial" w:cs="Arial" w:eastAsia="Arial" w:hAnsi="Arial"/>
          <w:color w:val="242424"/>
          <w:sz w:val="24"/>
          <w:szCs w:val="24"/>
          <w:shd w:fill="fafafa" w:val="clear"/>
          <w:rtl w:val="0"/>
        </w:rPr>
        <w:t xml:space="preserve"> </w:t>
      </w:r>
    </w:p>
    <w:p w:rsidR="00000000" w:rsidDel="00000000" w:rsidP="00000000" w:rsidRDefault="00000000" w:rsidRPr="00000000" w14:paraId="00000007">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b w:val="1"/>
          <w:color w:val="222222"/>
          <w:sz w:val="24"/>
          <w:szCs w:val="24"/>
          <w:rtl w:val="0"/>
        </w:rPr>
        <w:t xml:space="preserve">“Hoy más que nunca América Latina y el Caribe nos necesita y aquí estamos</w:t>
      </w:r>
      <w:r w:rsidDel="00000000" w:rsidR="00000000" w:rsidRPr="00000000">
        <w:rPr>
          <w:rFonts w:ascii="Arial Narrow" w:cs="Arial Narrow" w:eastAsia="Arial Narrow" w:hAnsi="Arial Narrow"/>
          <w:color w:val="222222"/>
          <w:sz w:val="24"/>
          <w:szCs w:val="24"/>
          <w:rtl w:val="0"/>
        </w:rPr>
        <w:t xml:space="preserve">, atrayendo nuevos recursos a tasas favorables para seguir apoyando a los gobiernos en sus planes de atención, mitigación de la pandemia y en la reactivación social y económica, que hemos fijado como prioridad en los primeros </w:t>
      </w:r>
      <w:r w:rsidDel="00000000" w:rsidR="00000000" w:rsidRPr="00000000">
        <w:rPr>
          <w:rFonts w:ascii="Arial Narrow" w:cs="Arial Narrow" w:eastAsia="Arial Narrow" w:hAnsi="Arial Narrow"/>
          <w:b w:val="1"/>
          <w:color w:val="222222"/>
          <w:sz w:val="24"/>
          <w:szCs w:val="24"/>
          <w:rtl w:val="0"/>
        </w:rPr>
        <w:t xml:space="preserve">100 días de gestión</w:t>
      </w:r>
      <w:r w:rsidDel="00000000" w:rsidR="00000000" w:rsidRPr="00000000">
        <w:rPr>
          <w:rFonts w:ascii="Arial Narrow" w:cs="Arial Narrow" w:eastAsia="Arial Narrow" w:hAnsi="Arial Narrow"/>
          <w:color w:val="222222"/>
          <w:sz w:val="24"/>
          <w:szCs w:val="24"/>
          <w:rtl w:val="0"/>
        </w:rPr>
        <w:t xml:space="preserve">”, afirmó </w:t>
      </w:r>
      <w:r w:rsidDel="00000000" w:rsidR="00000000" w:rsidRPr="00000000">
        <w:rPr>
          <w:rFonts w:ascii="Arial Narrow" w:cs="Arial Narrow" w:eastAsia="Arial Narrow" w:hAnsi="Arial Narrow"/>
          <w:b w:val="1"/>
          <w:color w:val="222222"/>
          <w:sz w:val="24"/>
          <w:szCs w:val="24"/>
          <w:rtl w:val="0"/>
        </w:rPr>
        <w:t xml:space="preserve">Sergio Díaz-Granados</w:t>
      </w:r>
      <w:r w:rsidDel="00000000" w:rsidR="00000000" w:rsidRPr="00000000">
        <w:rPr>
          <w:rFonts w:ascii="Arial Narrow" w:cs="Arial Narrow" w:eastAsia="Arial Narrow" w:hAnsi="Arial Narrow"/>
          <w:color w:val="222222"/>
          <w:sz w:val="24"/>
          <w:szCs w:val="24"/>
          <w:rtl w:val="0"/>
        </w:rPr>
        <w:t xml:space="preserve">, presidente ejecutivo de CAF.</w:t>
      </w:r>
    </w:p>
    <w:p w:rsidR="00000000" w:rsidDel="00000000" w:rsidP="00000000" w:rsidRDefault="00000000" w:rsidRPr="00000000" w14:paraId="00000008">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9">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Esta emisión en el mercado estadounidense sobresale por el </w:t>
      </w:r>
      <w:r w:rsidDel="00000000" w:rsidR="00000000" w:rsidRPr="00000000">
        <w:rPr>
          <w:rFonts w:ascii="Arial Narrow" w:cs="Arial Narrow" w:eastAsia="Arial Narrow" w:hAnsi="Arial Narrow"/>
          <w:b w:val="1"/>
          <w:color w:val="222222"/>
          <w:sz w:val="24"/>
          <w:szCs w:val="24"/>
          <w:rtl w:val="0"/>
        </w:rPr>
        <w:t xml:space="preserve">favorable nivel de precio alcanzado para CAF</w:t>
      </w:r>
      <w:r w:rsidDel="00000000" w:rsidR="00000000" w:rsidRPr="00000000">
        <w:rPr>
          <w:rFonts w:ascii="Arial Narrow" w:cs="Arial Narrow" w:eastAsia="Arial Narrow" w:hAnsi="Arial Narrow"/>
          <w:color w:val="222222"/>
          <w:sz w:val="24"/>
          <w:szCs w:val="24"/>
          <w:rtl w:val="0"/>
        </w:rPr>
        <w:t xml:space="preserve">, gracias al interés de los inversionistas, principalmente de administradores de fondos, instituciones públicas, fondos de pensión, bancos centrales, bancos comerciales con una distribución geográfica en </w:t>
      </w:r>
      <w:r w:rsidDel="00000000" w:rsidR="00000000" w:rsidRPr="00000000">
        <w:rPr>
          <w:rFonts w:ascii="Arial Narrow" w:cs="Arial Narrow" w:eastAsia="Arial Narrow" w:hAnsi="Arial Narrow"/>
          <w:b w:val="1"/>
          <w:color w:val="222222"/>
          <w:sz w:val="24"/>
          <w:szCs w:val="24"/>
          <w:rtl w:val="0"/>
        </w:rPr>
        <w:t xml:space="preserve">Europa, Medio Oriente, África, Asia y América</w:t>
      </w:r>
      <w:r w:rsidDel="00000000" w:rsidR="00000000" w:rsidRPr="00000000">
        <w:rPr>
          <w:rFonts w:ascii="Arial Narrow" w:cs="Arial Narrow" w:eastAsia="Arial Narrow" w:hAnsi="Arial Narrow"/>
          <w:color w:val="222222"/>
          <w:sz w:val="24"/>
          <w:szCs w:val="24"/>
          <w:rtl w:val="0"/>
        </w:rPr>
        <w:t xml:space="preserve">. Los bancos colocadores fueron </w:t>
      </w:r>
      <w:r w:rsidDel="00000000" w:rsidR="00000000" w:rsidRPr="00000000">
        <w:rPr>
          <w:rFonts w:ascii="Arial Narrow" w:cs="Arial Narrow" w:eastAsia="Arial Narrow" w:hAnsi="Arial Narrow"/>
          <w:b w:val="1"/>
          <w:color w:val="222222"/>
          <w:sz w:val="24"/>
          <w:szCs w:val="24"/>
          <w:rtl w:val="0"/>
        </w:rPr>
        <w:t xml:space="preserve">Barclays, BNP, Daiwa, J.P. Morgan</w:t>
      </w:r>
      <w:r w:rsidDel="00000000" w:rsidR="00000000" w:rsidRPr="00000000">
        <w:rPr>
          <w:rFonts w:ascii="Arial Narrow" w:cs="Arial Narrow" w:eastAsia="Arial Narrow" w:hAnsi="Arial Narrow"/>
          <w:color w:val="222222"/>
          <w:sz w:val="24"/>
          <w:szCs w:val="24"/>
          <w:rtl w:val="0"/>
        </w:rPr>
        <w:t xml:space="preserve">.</w:t>
      </w:r>
    </w:p>
    <w:p w:rsidR="00000000" w:rsidDel="00000000" w:rsidP="00000000" w:rsidRDefault="00000000" w:rsidRPr="00000000" w14:paraId="0000000A">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B">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"La primera emisión de CAF tamaño Benchmark en 2021 fue todo un éxito. Al utilizar inteligentemente la </w:t>
      </w:r>
      <w:r w:rsidDel="00000000" w:rsidR="00000000" w:rsidRPr="00000000">
        <w:rPr>
          <w:rFonts w:ascii="Arial Narrow" w:cs="Arial Narrow" w:eastAsia="Arial Narrow" w:hAnsi="Arial Narrow"/>
          <w:b w:val="1"/>
          <w:color w:val="222222"/>
          <w:sz w:val="24"/>
          <w:szCs w:val="24"/>
          <w:rtl w:val="0"/>
        </w:rPr>
        <w:t xml:space="preserve">diversificación de divisas</w:t>
      </w:r>
      <w:r w:rsidDel="00000000" w:rsidR="00000000" w:rsidRPr="00000000">
        <w:rPr>
          <w:rFonts w:ascii="Arial Narrow" w:cs="Arial Narrow" w:eastAsia="Arial Narrow" w:hAnsi="Arial Narrow"/>
          <w:color w:val="222222"/>
          <w:sz w:val="24"/>
          <w:szCs w:val="24"/>
          <w:rtl w:val="0"/>
        </w:rPr>
        <w:t xml:space="preserve"> con la emisión en euros a principios de año, </w:t>
      </w:r>
      <w:r w:rsidDel="00000000" w:rsidR="00000000" w:rsidRPr="00000000">
        <w:rPr>
          <w:rFonts w:ascii="Arial Narrow" w:cs="Arial Narrow" w:eastAsia="Arial Narrow" w:hAnsi="Arial Narrow"/>
          <w:b w:val="1"/>
          <w:color w:val="222222"/>
          <w:sz w:val="24"/>
          <w:szCs w:val="24"/>
          <w:rtl w:val="0"/>
        </w:rPr>
        <w:t xml:space="preserve">el equipo de CAF ha creado un valor excepcional para los compradores en dólares</w:t>
      </w:r>
      <w:r w:rsidDel="00000000" w:rsidR="00000000" w:rsidRPr="00000000">
        <w:rPr>
          <w:rFonts w:ascii="Arial Narrow" w:cs="Arial Narrow" w:eastAsia="Arial Narrow" w:hAnsi="Arial Narrow"/>
          <w:color w:val="222222"/>
          <w:sz w:val="24"/>
          <w:szCs w:val="24"/>
          <w:rtl w:val="0"/>
        </w:rPr>
        <w:t xml:space="preserve"> y ha logrado superar su objetivo de tamaño con una concesión mínima. La alta calidad de la demanda, la mayor desde 2016, confirma el apoyo continuo que CAF recibe por parte de los inversionistas”, afirmó </w:t>
      </w:r>
      <w:r w:rsidDel="00000000" w:rsidR="00000000" w:rsidRPr="00000000">
        <w:rPr>
          <w:rFonts w:ascii="Arial Narrow" w:cs="Arial Narrow" w:eastAsia="Arial Narrow" w:hAnsi="Arial Narrow"/>
          <w:b w:val="1"/>
          <w:color w:val="222222"/>
          <w:sz w:val="24"/>
          <w:szCs w:val="24"/>
          <w:rtl w:val="0"/>
        </w:rPr>
        <w:t xml:space="preserve">Lee Cumbes</w:t>
      </w:r>
      <w:r w:rsidDel="00000000" w:rsidR="00000000" w:rsidRPr="00000000">
        <w:rPr>
          <w:rFonts w:ascii="Arial Narrow" w:cs="Arial Narrow" w:eastAsia="Arial Narrow" w:hAnsi="Arial Narrow"/>
          <w:color w:val="222222"/>
          <w:sz w:val="24"/>
          <w:szCs w:val="24"/>
          <w:rtl w:val="0"/>
        </w:rPr>
        <w:t xml:space="preserve">, director de DCM en Barclays.</w:t>
      </w:r>
    </w:p>
    <w:p w:rsidR="00000000" w:rsidDel="00000000" w:rsidP="00000000" w:rsidRDefault="00000000" w:rsidRPr="00000000" w14:paraId="0000000C">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D">
      <w:pPr>
        <w:shd w:fill="ffffff" w:val="clear"/>
        <w:spacing w:after="0" w:lineRule="auto"/>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Por su parte </w:t>
      </w:r>
      <w:r w:rsidDel="00000000" w:rsidR="00000000" w:rsidRPr="00000000">
        <w:rPr>
          <w:rFonts w:ascii="Arial Narrow" w:cs="Arial Narrow" w:eastAsia="Arial Narrow" w:hAnsi="Arial Narrow"/>
          <w:b w:val="1"/>
          <w:color w:val="222222"/>
          <w:sz w:val="24"/>
          <w:szCs w:val="24"/>
          <w:rtl w:val="0"/>
        </w:rPr>
        <w:t xml:space="preserve">Jamie Stirling</w:t>
      </w:r>
      <w:r w:rsidDel="00000000" w:rsidR="00000000" w:rsidRPr="00000000">
        <w:rPr>
          <w:rFonts w:ascii="Arial Narrow" w:cs="Arial Narrow" w:eastAsia="Arial Narrow" w:hAnsi="Arial Narrow"/>
          <w:color w:val="222222"/>
          <w:sz w:val="24"/>
          <w:szCs w:val="24"/>
          <w:rtl w:val="0"/>
        </w:rPr>
        <w:t xml:space="preserve">, director de SSA DCM de BNP Paribas, destacó: “Felicito al equipo de finanzas de CAF por </w:t>
      </w:r>
      <w:r w:rsidDel="00000000" w:rsidR="00000000" w:rsidRPr="00000000">
        <w:rPr>
          <w:rFonts w:ascii="Arial Narrow" w:cs="Arial Narrow" w:eastAsia="Arial Narrow" w:hAnsi="Arial Narrow"/>
          <w:b w:val="1"/>
          <w:color w:val="222222"/>
          <w:sz w:val="24"/>
          <w:szCs w:val="24"/>
          <w:rtl w:val="0"/>
        </w:rPr>
        <w:t xml:space="preserve">navegar con éxito frente a la reciente volatilidad macro</w:t>
      </w:r>
      <w:r w:rsidDel="00000000" w:rsidR="00000000" w:rsidRPr="00000000">
        <w:rPr>
          <w:rFonts w:ascii="Arial Narrow" w:cs="Arial Narrow" w:eastAsia="Arial Narrow" w:hAnsi="Arial Narrow"/>
          <w:color w:val="222222"/>
          <w:sz w:val="24"/>
          <w:szCs w:val="24"/>
          <w:rtl w:val="0"/>
        </w:rPr>
        <w:t xml:space="preserve"> y, al mismo tiempo, lograr la mayor transacción en los últimos tres años y una concesión marginal a la curva secundaria".</w:t>
      </w:r>
    </w:p>
    <w:p w:rsidR="00000000" w:rsidDel="00000000" w:rsidP="00000000" w:rsidRDefault="00000000" w:rsidRPr="00000000" w14:paraId="0000000E">
      <w:pPr>
        <w:shd w:fill="ffffff" w:val="clear"/>
        <w:spacing w:after="0" w:lineRule="auto"/>
        <w:rPr>
          <w:rFonts w:ascii="Arial Narrow" w:cs="Arial Narrow" w:eastAsia="Arial Narrow" w:hAnsi="Arial Narrow"/>
          <w:i w:val="1"/>
          <w:color w:val="222222"/>
          <w:sz w:val="24"/>
          <w:szCs w:val="24"/>
        </w:rPr>
      </w:pPr>
      <w:r w:rsidDel="00000000" w:rsidR="00000000" w:rsidRPr="00000000">
        <w:rPr>
          <w:rFonts w:ascii="Arial Narrow" w:cs="Arial Narrow" w:eastAsia="Arial Narrow" w:hAnsi="Arial Narrow"/>
          <w:i w:val="1"/>
          <w:color w:val="222222"/>
          <w:sz w:val="24"/>
          <w:szCs w:val="24"/>
          <w:rtl w:val="0"/>
        </w:rPr>
        <w:t xml:space="preserve"> </w:t>
      </w:r>
    </w:p>
    <w:p w:rsidR="00000000" w:rsidDel="00000000" w:rsidP="00000000" w:rsidRDefault="00000000" w:rsidRPr="00000000" w14:paraId="0000000F">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CAF apoya a la región de manera ágil y oportuna mediante una serie de instrumentos financieros y técnicos que complementan las medidas que están aplicando los gobiernos. La estrategia integral contempla financiamientos de emergencia anticíclicos de rápido desembolso por </w:t>
      </w:r>
      <w:r w:rsidDel="00000000" w:rsidR="00000000" w:rsidRPr="00000000">
        <w:rPr>
          <w:rFonts w:ascii="Arial Narrow" w:cs="Arial Narrow" w:eastAsia="Arial Narrow" w:hAnsi="Arial Narrow"/>
          <w:b w:val="1"/>
          <w:color w:val="222222"/>
          <w:sz w:val="24"/>
          <w:szCs w:val="24"/>
          <w:rtl w:val="0"/>
        </w:rPr>
        <w:t xml:space="preserve">USD 4.100 millones</w:t>
      </w:r>
      <w:r w:rsidDel="00000000" w:rsidR="00000000" w:rsidRPr="00000000">
        <w:rPr>
          <w:rFonts w:ascii="Arial Narrow" w:cs="Arial Narrow" w:eastAsia="Arial Narrow" w:hAnsi="Arial Narrow"/>
          <w:color w:val="222222"/>
          <w:sz w:val="24"/>
          <w:szCs w:val="24"/>
          <w:rtl w:val="0"/>
        </w:rPr>
        <w:t xml:space="preserve">, una Línea de Crédito Contingente Regional para epidemias por </w:t>
      </w:r>
      <w:r w:rsidDel="00000000" w:rsidR="00000000" w:rsidRPr="00000000">
        <w:rPr>
          <w:rFonts w:ascii="Arial Narrow" w:cs="Arial Narrow" w:eastAsia="Arial Narrow" w:hAnsi="Arial Narrow"/>
          <w:b w:val="1"/>
          <w:color w:val="222222"/>
          <w:sz w:val="24"/>
          <w:szCs w:val="24"/>
          <w:rtl w:val="0"/>
        </w:rPr>
        <w:t xml:space="preserve">USD 300 millones</w:t>
      </w:r>
      <w:r w:rsidDel="00000000" w:rsidR="00000000" w:rsidRPr="00000000">
        <w:rPr>
          <w:rFonts w:ascii="Arial Narrow" w:cs="Arial Narrow" w:eastAsia="Arial Narrow" w:hAnsi="Arial Narrow"/>
          <w:color w:val="222222"/>
          <w:sz w:val="24"/>
          <w:szCs w:val="24"/>
          <w:rtl w:val="0"/>
        </w:rPr>
        <w:t xml:space="preserve"> para la atención directa de los sistemas de salud pública; recursos de cooperación técnica no reembolsable por </w:t>
      </w:r>
      <w:r w:rsidDel="00000000" w:rsidR="00000000" w:rsidRPr="00000000">
        <w:rPr>
          <w:rFonts w:ascii="Arial Narrow" w:cs="Arial Narrow" w:eastAsia="Arial Narrow" w:hAnsi="Arial Narrow"/>
          <w:b w:val="1"/>
          <w:color w:val="222222"/>
          <w:sz w:val="24"/>
          <w:szCs w:val="24"/>
          <w:rtl w:val="0"/>
        </w:rPr>
        <w:t xml:space="preserve">USD 5 millones</w:t>
      </w:r>
      <w:r w:rsidDel="00000000" w:rsidR="00000000" w:rsidRPr="00000000">
        <w:rPr>
          <w:rFonts w:ascii="Arial Narrow" w:cs="Arial Narrow" w:eastAsia="Arial Narrow" w:hAnsi="Arial Narrow"/>
          <w:color w:val="222222"/>
          <w:sz w:val="24"/>
          <w:szCs w:val="24"/>
          <w:rtl w:val="0"/>
        </w:rPr>
        <w:t xml:space="preserve"> para iniciativas prioritarias relacionadas con la atención a la pandemia; una Línea de Crédito Financiera por </w:t>
      </w:r>
      <w:r w:rsidDel="00000000" w:rsidR="00000000" w:rsidRPr="00000000">
        <w:rPr>
          <w:rFonts w:ascii="Arial Narrow" w:cs="Arial Narrow" w:eastAsia="Arial Narrow" w:hAnsi="Arial Narrow"/>
          <w:b w:val="1"/>
          <w:color w:val="222222"/>
          <w:sz w:val="24"/>
          <w:szCs w:val="24"/>
          <w:rtl w:val="0"/>
        </w:rPr>
        <w:t xml:space="preserve">USD 1.600 millones</w:t>
      </w:r>
      <w:r w:rsidDel="00000000" w:rsidR="00000000" w:rsidRPr="00000000">
        <w:rPr>
          <w:rFonts w:ascii="Arial Narrow" w:cs="Arial Narrow" w:eastAsia="Arial Narrow" w:hAnsi="Arial Narrow"/>
          <w:color w:val="222222"/>
          <w:sz w:val="24"/>
          <w:szCs w:val="24"/>
          <w:rtl w:val="0"/>
        </w:rPr>
        <w:t xml:space="preserve"> para los bancos nacionales de desarrollo; y dos facilidades de liquidez para apoyar a los sistemas de salud y a las empresas de servicios públicos de los países accionistas, por un monto agregado de </w:t>
      </w:r>
      <w:r w:rsidDel="00000000" w:rsidR="00000000" w:rsidRPr="00000000">
        <w:rPr>
          <w:rFonts w:ascii="Arial Narrow" w:cs="Arial Narrow" w:eastAsia="Arial Narrow" w:hAnsi="Arial Narrow"/>
          <w:b w:val="1"/>
          <w:color w:val="222222"/>
          <w:sz w:val="24"/>
          <w:szCs w:val="24"/>
          <w:rtl w:val="0"/>
        </w:rPr>
        <w:t xml:space="preserve">USD 1.700 millones</w:t>
      </w:r>
      <w:r w:rsidDel="00000000" w:rsidR="00000000" w:rsidRPr="00000000">
        <w:rPr>
          <w:rFonts w:ascii="Arial Narrow" w:cs="Arial Narrow" w:eastAsia="Arial Narrow" w:hAnsi="Arial Narrow"/>
          <w:color w:val="222222"/>
          <w:sz w:val="24"/>
          <w:szCs w:val="24"/>
          <w:rtl w:val="0"/>
        </w:rPr>
        <w:t xml:space="preserve">.</w:t>
      </w:r>
    </w:p>
    <w:p w:rsidR="00000000" w:rsidDel="00000000" w:rsidP="00000000" w:rsidRDefault="00000000" w:rsidRPr="00000000" w14:paraId="00000010">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11">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En 2021, CAF ha emitido cerca de </w:t>
      </w:r>
      <w:r w:rsidDel="00000000" w:rsidR="00000000" w:rsidRPr="00000000">
        <w:rPr>
          <w:rFonts w:ascii="Arial Narrow" w:cs="Arial Narrow" w:eastAsia="Arial Narrow" w:hAnsi="Arial Narrow"/>
          <w:b w:val="1"/>
          <w:color w:val="222222"/>
          <w:sz w:val="24"/>
          <w:szCs w:val="24"/>
          <w:rtl w:val="0"/>
        </w:rPr>
        <w:t xml:space="preserve">USD 4.500</w:t>
      </w:r>
      <w:r w:rsidDel="00000000" w:rsidR="00000000" w:rsidRPr="00000000">
        <w:rPr>
          <w:rFonts w:ascii="Arial Narrow" w:cs="Arial Narrow" w:eastAsia="Arial Narrow" w:hAnsi="Arial Narrow"/>
          <w:color w:val="222222"/>
          <w:sz w:val="24"/>
          <w:szCs w:val="24"/>
          <w:rtl w:val="0"/>
        </w:rPr>
        <w:t xml:space="preserve"> millones en diversos mercados. En este periodo se ha realizado una operación pública tamaño Benchmark, récord en el mercado europeo. También se han realizado diferentes transacciones en el mercado asiático, mexicano y el primer bono SOFR (Secured Overnight</w:t>
      </w:r>
      <w:r w:rsidDel="00000000" w:rsidR="00000000" w:rsidRPr="00000000">
        <w:rPr>
          <w:rFonts w:ascii="Arial" w:cs="Arial" w:eastAsia="Arial" w:hAnsi="Arial"/>
          <w:color w:val="202124"/>
          <w:sz w:val="24"/>
          <w:szCs w:val="24"/>
          <w:rtl w:val="0"/>
        </w:rPr>
        <w:t xml:space="preserve"> </w:t>
      </w:r>
      <w:r w:rsidDel="00000000" w:rsidR="00000000" w:rsidRPr="00000000">
        <w:rPr>
          <w:rFonts w:ascii="Arial Narrow" w:cs="Arial Narrow" w:eastAsia="Arial Narrow" w:hAnsi="Arial Narrow"/>
          <w:color w:val="222222"/>
          <w:sz w:val="24"/>
          <w:szCs w:val="24"/>
          <w:rtl w:val="0"/>
        </w:rPr>
        <w:t xml:space="preserve">Financing</w:t>
      </w:r>
      <w:r w:rsidDel="00000000" w:rsidR="00000000" w:rsidRPr="00000000">
        <w:rPr>
          <w:rFonts w:ascii="Arial" w:cs="Arial" w:eastAsia="Arial" w:hAnsi="Arial"/>
          <w:color w:val="202124"/>
          <w:sz w:val="24"/>
          <w:szCs w:val="24"/>
          <w:rtl w:val="0"/>
        </w:rPr>
        <w:t xml:space="preserve"> </w:t>
      </w:r>
      <w:r w:rsidDel="00000000" w:rsidR="00000000" w:rsidRPr="00000000">
        <w:rPr>
          <w:rFonts w:ascii="Arial Narrow" w:cs="Arial Narrow" w:eastAsia="Arial Narrow" w:hAnsi="Arial Narrow"/>
          <w:color w:val="222222"/>
          <w:sz w:val="24"/>
          <w:szCs w:val="24"/>
          <w:rtl w:val="0"/>
        </w:rPr>
        <w:t xml:space="preserve">Rate) realizado por un emisor Latinoamericano.</w:t>
      </w:r>
    </w:p>
    <w:p w:rsidR="00000000" w:rsidDel="00000000" w:rsidP="00000000" w:rsidRDefault="00000000" w:rsidRPr="00000000" w14:paraId="00000012">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13">
      <w:pPr>
        <w:shd w:fill="ffffff" w:val="clear"/>
        <w:spacing w:after="0"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El banco de desarrollo de América Latina lleva a cabo desde hace tres décadas, una estrategia de diversificación de sus fuentes de financiamiento, a través de una presencia ininterrumpida en los mercados globales de capital, que lo han ubicado en una posición privilegiada internacionalmente. La multilateral promueve el desarrollo sostenible y la integración regional, mediante una eficiente movilización de recursos para la prestación oportuna de servicios financieros múltiples, de alto valor agregado, a clientes de los sectores públicos y privado de los países accionistas.</w:t>
      </w:r>
    </w:p>
    <w:p w:rsidR="00000000" w:rsidDel="00000000" w:rsidP="00000000" w:rsidRDefault="00000000" w:rsidRPr="00000000" w14:paraId="00000014">
      <w:pPr>
        <w:shd w:fill="ffffff" w:val="clear"/>
        <w:spacing w:after="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15">
      <w:pPr>
        <w:shd w:fill="ffffff" w:val="clear"/>
        <w:spacing w:after="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16">
      <w:pPr>
        <w:shd w:fill="ffffff" w:val="clear"/>
        <w:spacing w:after="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17">
      <w:pPr>
        <w:shd w:fill="ffffff" w:val="clear"/>
        <w:spacing w:after="0" w:lineRule="auto"/>
        <w:ind w:left="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8">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8">
      <w:pPr>
        <w:shd w:fill="ffffff" w:val="clear"/>
        <w:spacing w:after="0" w:lineRule="auto"/>
        <w:rPr>
          <w:rFonts w:ascii="Arial Narrow" w:cs="Arial Narrow" w:eastAsia="Arial Narrow" w:hAnsi="Arial Narrow"/>
          <w:i w:val="1"/>
          <w:color w:val="7f7f7f"/>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Arial Narrow" w:cs="Arial Narrow" w:eastAsia="Arial Narrow" w:hAnsi="Arial Narrow"/>
        </w:rPr>
      </w:pPr>
      <w:r w:rsidDel="00000000" w:rsidR="00000000" w:rsidRPr="00000000">
        <w:rPr>
          <w:rtl w:val="0"/>
        </w:rPr>
      </w:r>
    </w:p>
    <w:sectPr>
      <w:head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675" cy="439626"/>
          <wp:effectExtent b="0" l="0" r="0" t="0"/>
          <wp:docPr descr="C:\Users\MEHERNANDEZ\Desktop\CAF Logo Color Horizontal.png" id="6" name="image1.png"/>
          <a:graphic>
            <a:graphicData uri="http://schemas.openxmlformats.org/drawingml/2006/picture">
              <pic:pic>
                <pic:nvPicPr>
                  <pic:cNvPr descr="C:\Users\MEHERNANDEZ\Desktop\CAF Logo Color Horizontal.png" id="0" name="image1.png"/>
                  <pic:cNvPicPr preferRelativeResize="0"/>
                </pic:nvPicPr>
                <pic:blipFill>
                  <a:blip r:embed="rId1"/>
                  <a:srcRect b="0" l="0" r="0" t="0"/>
                  <a:stretch>
                    <a:fillRect/>
                  </a:stretch>
                </pic:blipFill>
                <pic:spPr>
                  <a:xfrm>
                    <a:off x="0" y="0"/>
                    <a:ext cx="2353675" cy="4396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5">
    <w:name w:val="heading 5"/>
    <w:basedOn w:val="Normal"/>
    <w:link w:val="Ttulo5Car"/>
    <w:uiPriority w:val="9"/>
    <w:qFormat w:val="1"/>
    <w:rsid w:val="00A03B9A"/>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es-P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5Car" w:customStyle="1">
    <w:name w:val="Título 5 Car"/>
    <w:basedOn w:val="Fuentedeprrafopredeter"/>
    <w:link w:val="Ttulo5"/>
    <w:uiPriority w:val="9"/>
    <w:rsid w:val="00A03B9A"/>
    <w:rPr>
      <w:rFonts w:ascii="Times New Roman" w:cs="Times New Roman" w:eastAsia="Times New Roman" w:hAnsi="Times New Roman"/>
      <w:b w:val="1"/>
      <w:bCs w:val="1"/>
      <w:sz w:val="20"/>
      <w:szCs w:val="20"/>
      <w:lang w:eastAsia="es-PE"/>
    </w:rPr>
  </w:style>
  <w:style w:type="paragraph" w:styleId="cafponenteslist" w:customStyle="1">
    <w:name w:val="caf_ponentes_list"/>
    <w:basedOn w:val="Normal"/>
    <w:rsid w:val="00A03B9A"/>
    <w:pPr>
      <w:spacing w:after="100" w:afterAutospacing="1" w:before="100" w:beforeAutospacing="1" w:line="240" w:lineRule="auto"/>
    </w:pPr>
    <w:rPr>
      <w:rFonts w:ascii="Times New Roman" w:cs="Times New Roman" w:eastAsia="Times New Roman" w:hAnsi="Times New Roman"/>
      <w:sz w:val="24"/>
      <w:szCs w:val="24"/>
      <w:lang w:eastAsia="es-PE"/>
    </w:rPr>
  </w:style>
  <w:style w:type="paragraph" w:styleId="NormalWeb">
    <w:name w:val="Normal (Web)"/>
    <w:basedOn w:val="Normal"/>
    <w:uiPriority w:val="99"/>
    <w:unhideWhenUsed w:val="1"/>
    <w:rsid w:val="00A03B9A"/>
    <w:pPr>
      <w:spacing w:after="100" w:afterAutospacing="1" w:before="100" w:beforeAutospacing="1" w:line="240" w:lineRule="auto"/>
    </w:pPr>
    <w:rPr>
      <w:rFonts w:ascii="Times New Roman" w:cs="Times New Roman" w:eastAsia="Times New Roman" w:hAnsi="Times New Roman"/>
      <w:sz w:val="24"/>
      <w:szCs w:val="24"/>
      <w:lang w:eastAsia="es-PE"/>
    </w:rPr>
  </w:style>
  <w:style w:type="paragraph" w:styleId="Encabezado">
    <w:name w:val="header"/>
    <w:basedOn w:val="Normal"/>
    <w:link w:val="EncabezadoCar"/>
    <w:uiPriority w:val="99"/>
    <w:unhideWhenUsed w:val="1"/>
    <w:rsid w:val="00A03B9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03B9A"/>
  </w:style>
  <w:style w:type="paragraph" w:styleId="Piedepgina">
    <w:name w:val="footer"/>
    <w:basedOn w:val="Normal"/>
    <w:link w:val="PiedepginaCar"/>
    <w:uiPriority w:val="99"/>
    <w:unhideWhenUsed w:val="1"/>
    <w:rsid w:val="00A03B9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03B9A"/>
  </w:style>
  <w:style w:type="character" w:styleId="Hipervnculo">
    <w:name w:val="Hyperlink"/>
    <w:basedOn w:val="Fuentedeprrafopredeter"/>
    <w:uiPriority w:val="99"/>
    <w:unhideWhenUsed w:val="1"/>
    <w:rsid w:val="004C0BEF"/>
    <w:rPr>
      <w:color w:val="0563c1" w:themeColor="hyperlink"/>
      <w:u w:val="single"/>
    </w:rPr>
  </w:style>
  <w:style w:type="character" w:styleId="Mencinsinresolver">
    <w:name w:val="Unresolved Mention"/>
    <w:basedOn w:val="Fuentedeprrafopredeter"/>
    <w:uiPriority w:val="99"/>
    <w:semiHidden w:val="1"/>
    <w:unhideWhenUsed w:val="1"/>
    <w:rsid w:val="004C0BE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A2HvRanC+l8kZ24fKm3mSxWesw==">AMUW2mUr0dmcGtQ5elPiIGtzVtGIDUWsjBWnq7iio40WYWC1wJwwXhLPiKl+m8f1SxbqqR/FdWpJ2KKmFVoiwscnkCRlu2CV3Cp3buo3a2xBp4CUELtbSb7upM38hPHrEH/AoVRcajBV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2021-10-19T22:32:00Z</dcterms:created>
  <dc:creator>ABREW, NICOLAS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38a1ca9b-9db0-405d-a8a7-c123d72d3113</vt:lpwstr>
  </property>
</Properties>
</file>